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CFE7" w14:textId="67758C60" w:rsidR="00E22A23" w:rsidRPr="008F77EF" w:rsidRDefault="000A7964" w:rsidP="004C3F72">
      <w:pPr>
        <w:pStyle w:val="Heading2"/>
        <w:pBdr>
          <w:bottom w:val="single" w:sz="4" w:space="1" w:color="auto"/>
        </w:pBdr>
        <w:tabs>
          <w:tab w:val="left" w:pos="2410"/>
          <w:tab w:val="right" w:pos="9356"/>
        </w:tabs>
        <w:ind w:left="-567"/>
        <w:jc w:val="center"/>
        <w:rPr>
          <w:rStyle w:val="TitleChar"/>
          <w:color w:val="auto"/>
          <w:sz w:val="72"/>
          <w:szCs w:val="72"/>
        </w:rPr>
      </w:pPr>
      <w:bookmarkStart w:id="0" w:name="_Hlk66801434"/>
      <w:bookmarkStart w:id="1" w:name="_GoBack"/>
      <w:bookmarkEnd w:id="1"/>
      <w:r w:rsidRPr="008F77EF">
        <w:rPr>
          <w:rStyle w:val="TitleChar"/>
          <w:color w:val="auto"/>
          <w:sz w:val="72"/>
          <w:szCs w:val="72"/>
        </w:rPr>
        <w:t>SWOT analýza</w:t>
      </w:r>
    </w:p>
    <w:p w14:paraId="0138C31D" w14:textId="7E055A07" w:rsidR="007F1B33" w:rsidRPr="008F77EF" w:rsidRDefault="007F1B33" w:rsidP="007F1B33">
      <w:pPr>
        <w:jc w:val="center"/>
        <w:rPr>
          <w:rFonts w:asciiTheme="majorHAnsi" w:hAnsiTheme="majorHAnsi"/>
          <w:b/>
          <w:bCs/>
          <w:color w:val="1F497D" w:themeColor="text2"/>
          <w:sz w:val="60"/>
          <w:szCs w:val="60"/>
        </w:rPr>
      </w:pPr>
      <w:r w:rsidRPr="008F77EF">
        <w:rPr>
          <w:rFonts w:asciiTheme="majorHAnsi" w:hAnsiTheme="majorHAnsi"/>
          <w:b/>
          <w:bCs/>
          <w:color w:val="1F497D" w:themeColor="text2"/>
          <w:sz w:val="60"/>
          <w:szCs w:val="60"/>
        </w:rPr>
        <w:t>PS Finance</w:t>
      </w:r>
    </w:p>
    <w:p w14:paraId="37EBA5DF" w14:textId="77777777" w:rsidR="008F77EF" w:rsidRDefault="000A7964" w:rsidP="00597CE6">
      <w:pPr>
        <w:pStyle w:val="Heading2"/>
        <w:pBdr>
          <w:bottom w:val="single" w:sz="4" w:space="0" w:color="auto"/>
        </w:pBdr>
        <w:tabs>
          <w:tab w:val="left" w:pos="9356"/>
        </w:tabs>
        <w:ind w:left="2410" w:right="-141" w:hanging="2410"/>
        <w:jc w:val="both"/>
        <w:rPr>
          <w:rStyle w:val="Heading1Char"/>
          <w:color w:val="auto"/>
          <w:sz w:val="18"/>
          <w:szCs w:val="18"/>
        </w:rPr>
      </w:pPr>
      <w:r w:rsidRPr="007F1B33">
        <w:rPr>
          <w:rStyle w:val="Heading1Char"/>
          <w:b/>
          <w:bCs/>
          <w:color w:val="auto"/>
          <w:sz w:val="24"/>
          <w:szCs w:val="24"/>
        </w:rPr>
        <w:t>Předmět analýzy:</w:t>
      </w:r>
      <w:r w:rsidR="00E22A23" w:rsidRPr="007F1B33">
        <w:rPr>
          <w:rStyle w:val="Heading1Char"/>
          <w:b/>
          <w:bCs/>
          <w:color w:val="auto"/>
          <w:sz w:val="24"/>
          <w:szCs w:val="24"/>
        </w:rPr>
        <w:tab/>
      </w:r>
      <w:r w:rsidR="00174F40" w:rsidRPr="008766D7">
        <w:rPr>
          <w:rStyle w:val="Heading1Char"/>
          <w:color w:val="auto"/>
          <w:sz w:val="18"/>
          <w:szCs w:val="18"/>
        </w:rPr>
        <w:t>Financování školství – ze státního rozpočtu / zřizovateli,</w:t>
      </w:r>
      <w:r w:rsidR="008766D7">
        <w:rPr>
          <w:rStyle w:val="Heading1Char"/>
          <w:color w:val="auto"/>
          <w:sz w:val="18"/>
          <w:szCs w:val="18"/>
        </w:rPr>
        <w:t xml:space="preserve"> </w:t>
      </w:r>
      <w:r w:rsidR="00174F40" w:rsidRPr="008766D7">
        <w:rPr>
          <w:rStyle w:val="Heading1Char"/>
          <w:color w:val="auto"/>
          <w:sz w:val="18"/>
          <w:szCs w:val="18"/>
        </w:rPr>
        <w:t xml:space="preserve">dotační možnosti – investiční </w:t>
      </w:r>
      <w:r w:rsidR="004C3F72">
        <w:rPr>
          <w:rStyle w:val="Heading1Char"/>
          <w:color w:val="auto"/>
          <w:sz w:val="18"/>
          <w:szCs w:val="18"/>
        </w:rPr>
        <w:t xml:space="preserve">/ </w:t>
      </w:r>
      <w:r w:rsidR="00174F40" w:rsidRPr="008766D7">
        <w:rPr>
          <w:rStyle w:val="Heading1Char"/>
          <w:color w:val="auto"/>
          <w:sz w:val="18"/>
          <w:szCs w:val="18"/>
        </w:rPr>
        <w:t>neinvestiční</w:t>
      </w:r>
    </w:p>
    <w:p w14:paraId="4E4444AB" w14:textId="66472810" w:rsidR="000A7964" w:rsidRPr="007F1B33" w:rsidRDefault="000A7964" w:rsidP="00597CE6">
      <w:pPr>
        <w:pStyle w:val="Heading2"/>
        <w:pBdr>
          <w:bottom w:val="single" w:sz="4" w:space="0" w:color="auto"/>
        </w:pBdr>
        <w:tabs>
          <w:tab w:val="left" w:pos="9356"/>
        </w:tabs>
        <w:ind w:left="2410" w:right="-141" w:hanging="2410"/>
        <w:jc w:val="both"/>
        <w:rPr>
          <w:b w:val="0"/>
          <w:bCs w:val="0"/>
          <w:color w:val="auto"/>
          <w:sz w:val="18"/>
          <w:szCs w:val="18"/>
        </w:rPr>
      </w:pPr>
      <w:r w:rsidRPr="00E22A23">
        <w:rPr>
          <w:rStyle w:val="Heading1Char"/>
          <w:color w:val="auto"/>
        </w:rPr>
        <w:tab/>
      </w:r>
    </w:p>
    <w:tbl>
      <w:tblPr>
        <w:tblStyle w:val="GridTable5Dark-Accent1"/>
        <w:tblpPr w:leftFromText="141" w:rightFromText="141" w:vertAnchor="text" w:tblpX="-714" w:tblpY="1"/>
        <w:tblW w:w="10485" w:type="dxa"/>
        <w:tblLook w:val="04A0" w:firstRow="1" w:lastRow="0" w:firstColumn="1" w:lastColumn="0" w:noHBand="0" w:noVBand="1"/>
      </w:tblPr>
      <w:tblGrid>
        <w:gridCol w:w="997"/>
        <w:gridCol w:w="4297"/>
        <w:gridCol w:w="5191"/>
      </w:tblGrid>
      <w:tr w:rsidR="000A7964" w:rsidRPr="00E22A23" w14:paraId="422BA378" w14:textId="77777777" w:rsidTr="00597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extDirection w:val="btLr"/>
          </w:tcPr>
          <w:p w14:paraId="2C0B3B00" w14:textId="77777777" w:rsidR="000A7964" w:rsidRPr="00E22A23" w:rsidRDefault="000A7964" w:rsidP="004C3F72">
            <w:pPr>
              <w:ind w:left="113" w:right="113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14:paraId="45E33189" w14:textId="34F54B46" w:rsidR="007B73AB" w:rsidRPr="007B73AB" w:rsidRDefault="007B73AB" w:rsidP="004C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8"/>
                <w:szCs w:val="28"/>
              </w:rPr>
            </w:pPr>
            <w:r w:rsidRPr="007B73AB">
              <w:rPr>
                <w:rFonts w:asciiTheme="majorHAnsi" w:hAnsiTheme="majorHAnsi" w:cstheme="minorHAnsi"/>
                <w:sz w:val="28"/>
                <w:szCs w:val="28"/>
              </w:rPr>
              <w:t>POMOCNÉ</w:t>
            </w:r>
          </w:p>
          <w:p w14:paraId="37F03A00" w14:textId="77777777" w:rsidR="000A7964" w:rsidRPr="007B73AB" w:rsidRDefault="007B73AB" w:rsidP="004C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3AB">
              <w:rPr>
                <w:rFonts w:asciiTheme="majorHAnsi" w:hAnsiTheme="majorHAnsi" w:cstheme="minorHAnsi"/>
                <w:sz w:val="24"/>
                <w:szCs w:val="24"/>
              </w:rPr>
              <w:t>(</w:t>
            </w:r>
            <w:r w:rsidR="000A7964" w:rsidRPr="007B73AB">
              <w:rPr>
                <w:rFonts w:asciiTheme="majorHAnsi" w:hAnsiTheme="majorHAnsi" w:cstheme="minorHAnsi"/>
                <w:sz w:val="24"/>
                <w:szCs w:val="24"/>
              </w:rPr>
              <w:t>k dosažení cíle</w:t>
            </w:r>
            <w:r w:rsidRPr="007B73AB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</w:tc>
        <w:tc>
          <w:tcPr>
            <w:tcW w:w="5191" w:type="dxa"/>
            <w:vAlign w:val="center"/>
          </w:tcPr>
          <w:p w14:paraId="15EDD4B0" w14:textId="77777777" w:rsidR="007B73AB" w:rsidRPr="007B73AB" w:rsidRDefault="007B73AB" w:rsidP="004C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8"/>
                <w:szCs w:val="28"/>
              </w:rPr>
            </w:pPr>
            <w:r w:rsidRPr="007B73AB">
              <w:rPr>
                <w:rFonts w:asciiTheme="majorHAnsi" w:hAnsiTheme="majorHAnsi" w:cstheme="minorHAnsi"/>
                <w:sz w:val="28"/>
                <w:szCs w:val="28"/>
              </w:rPr>
              <w:t>ŠKODLIVÉ</w:t>
            </w:r>
          </w:p>
          <w:p w14:paraId="600530BD" w14:textId="77777777" w:rsidR="000A7964" w:rsidRPr="007B73AB" w:rsidRDefault="007B73AB" w:rsidP="004C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3AB">
              <w:rPr>
                <w:rFonts w:asciiTheme="majorHAnsi" w:hAnsiTheme="majorHAnsi" w:cstheme="minorHAnsi"/>
                <w:sz w:val="24"/>
                <w:szCs w:val="24"/>
              </w:rPr>
              <w:t>(</w:t>
            </w:r>
            <w:r w:rsidR="000A7964" w:rsidRPr="007B73AB">
              <w:rPr>
                <w:rFonts w:asciiTheme="majorHAnsi" w:hAnsiTheme="majorHAnsi" w:cstheme="minorHAnsi"/>
                <w:sz w:val="24"/>
                <w:szCs w:val="24"/>
              </w:rPr>
              <w:t>k dosažení cíle</w:t>
            </w:r>
            <w:r w:rsidRPr="007B73AB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</w:tc>
      </w:tr>
      <w:tr w:rsidR="000A7964" w:rsidRPr="00E22A23" w14:paraId="16471F1D" w14:textId="77777777" w:rsidTr="007F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extDirection w:val="btLr"/>
          </w:tcPr>
          <w:p w14:paraId="1F2B0026" w14:textId="77777777" w:rsidR="000A7964" w:rsidRPr="00E22A23" w:rsidRDefault="000A7964" w:rsidP="004C3F72">
            <w:pPr>
              <w:ind w:left="113" w:right="113"/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7B73AB">
              <w:rPr>
                <w:rFonts w:asciiTheme="majorHAnsi" w:hAnsiTheme="majorHAnsi" w:cstheme="minorHAnsi"/>
                <w:sz w:val="28"/>
                <w:szCs w:val="28"/>
              </w:rPr>
              <w:t>VNITŘNÍ</w:t>
            </w:r>
            <w:r w:rsidRPr="007B73AB">
              <w:rPr>
                <w:rFonts w:asciiTheme="majorHAnsi" w:hAnsiTheme="majorHAnsi" w:cstheme="minorHAnsi"/>
                <w:sz w:val="28"/>
                <w:szCs w:val="28"/>
              </w:rPr>
              <w:br/>
            </w:r>
            <w:r w:rsidRPr="007B73AB">
              <w:rPr>
                <w:rFonts w:asciiTheme="majorHAnsi" w:hAnsiTheme="majorHAnsi" w:cstheme="minorHAnsi"/>
                <w:sz w:val="24"/>
                <w:szCs w:val="24"/>
              </w:rPr>
              <w:t>(atributy organizace)</w:t>
            </w:r>
          </w:p>
        </w:tc>
        <w:tc>
          <w:tcPr>
            <w:tcW w:w="4297" w:type="dxa"/>
          </w:tcPr>
          <w:p w14:paraId="6570CFE2" w14:textId="77777777" w:rsidR="007F1032" w:rsidRDefault="007F1032" w:rsidP="004C3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4FB16534" w14:textId="249AE5DB" w:rsidR="000A7964" w:rsidRDefault="000A7964" w:rsidP="004C3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1B33">
              <w:rPr>
                <w:rFonts w:asciiTheme="majorHAnsi" w:hAnsiTheme="majorHAnsi" w:cstheme="minorHAnsi"/>
                <w:b/>
                <w:sz w:val="28"/>
                <w:szCs w:val="28"/>
              </w:rPr>
              <w:t>STRENGHTS (silné stránky)</w:t>
            </w:r>
          </w:p>
          <w:p w14:paraId="7E0631CF" w14:textId="77777777" w:rsidR="00C710CB" w:rsidRPr="007F1B33" w:rsidRDefault="00C710CB" w:rsidP="004C3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0B91B62D" w14:textId="5760F224" w:rsidR="00174F40" w:rsidRDefault="008766D7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Realizace MAP I. a MAP II.</w:t>
            </w:r>
          </w:p>
          <w:p w14:paraId="3D3633C8" w14:textId="157426BC" w:rsidR="00F46247" w:rsidRPr="00F46247" w:rsidRDefault="00F46247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Schválený Strategický rámec (možnost aktualizace 2 x ročně)</w:t>
            </w:r>
          </w:p>
          <w:p w14:paraId="6492C0CC" w14:textId="385F2912" w:rsidR="00FE0891" w:rsidRPr="00F46247" w:rsidRDefault="00FE0891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V rámci realizace MAP zajistit další vzdělávání zejména pro pomocníky ve školách (např. </w:t>
            </w: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asistent pedagoga)</w:t>
            </w:r>
          </w:p>
          <w:p w14:paraId="7E9F4DEE" w14:textId="4334424D" w:rsidR="00271902" w:rsidRPr="00F46247" w:rsidRDefault="00271902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Spolupráce mezi koordinátorem MAP a vyhlašovatelem regionálních výzev z</w:t>
            </w:r>
            <w:r w:rsidR="00F46247"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 </w:t>
            </w: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IROP</w:t>
            </w:r>
          </w:p>
          <w:p w14:paraId="270F83AA" w14:textId="77777777" w:rsidR="008766D7" w:rsidRPr="00F46247" w:rsidRDefault="008766D7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Propojení škol (MŠ a ZŠ)</w:t>
            </w:r>
          </w:p>
          <w:p w14:paraId="43739284" w14:textId="41558DA7" w:rsidR="008766D7" w:rsidRPr="00F46247" w:rsidRDefault="008766D7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Sdílení dobré praxe </w:t>
            </w:r>
            <w:r w:rsidR="007F1B33"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br/>
            </w: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a podněcování spolupráce</w:t>
            </w:r>
          </w:p>
          <w:p w14:paraId="655712DC" w14:textId="511464C5" w:rsidR="008766D7" w:rsidRPr="00F46247" w:rsidRDefault="008766D7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Cílené rozhovory se starosty </w:t>
            </w:r>
            <w:r w:rsidR="007F1B33"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br/>
            </w: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a řediteli škol (MŠ a ZŠ)</w:t>
            </w:r>
          </w:p>
          <w:p w14:paraId="166AC850" w14:textId="5EF570CE" w:rsidR="00F46247" w:rsidRPr="00F46247" w:rsidRDefault="00F46247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Čerpání dotací </w:t>
            </w:r>
          </w:p>
          <w:p w14:paraId="45C3A91A" w14:textId="59B08837" w:rsidR="00AC2245" w:rsidRPr="00F46247" w:rsidRDefault="00AC2245" w:rsidP="004C3F7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Analýza potřeb vzdělávání</w:t>
            </w:r>
          </w:p>
          <w:p w14:paraId="64668583" w14:textId="1FF639BC" w:rsidR="00AC2245" w:rsidRPr="00F46247" w:rsidRDefault="00AC2245" w:rsidP="004C3F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(online kurzy, srovnání s nabídkou MAP v rámci </w:t>
            </w:r>
            <w:r w:rsidR="00C80E8F"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ČR nebo KHK)</w:t>
            </w:r>
          </w:p>
          <w:p w14:paraId="11C997A1" w14:textId="77777777" w:rsidR="00FE0891" w:rsidRPr="00F46247" w:rsidRDefault="00C80E8F" w:rsidP="004C3F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Průzkum pro doučování v rámci letních prázdnin x personální </w:t>
            </w:r>
          </w:p>
          <w:p w14:paraId="282D0A2A" w14:textId="01B046B7" w:rsidR="00C80E8F" w:rsidRDefault="00C80E8F" w:rsidP="004C3F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bCs/>
                <w:sz w:val="24"/>
                <w:szCs w:val="24"/>
              </w:rPr>
              <w:t>kapacita škol</w:t>
            </w:r>
          </w:p>
          <w:p w14:paraId="1CAD961D" w14:textId="77777777" w:rsidR="00767BAF" w:rsidRDefault="00767BAF" w:rsidP="004C3F72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Spolupráce škol (ZŠ a SŠ) s lokálními zaměstnavateli (zejména podnikatelský sektor)</w:t>
            </w:r>
          </w:p>
          <w:p w14:paraId="4A649F84" w14:textId="77777777" w:rsidR="00767BAF" w:rsidRDefault="00767BAF" w:rsidP="004C3F72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Spolupráce se zřizovateli škol</w:t>
            </w:r>
          </w:p>
          <w:p w14:paraId="6295821E" w14:textId="77777777" w:rsidR="00767BAF" w:rsidRPr="00F46247" w:rsidRDefault="00767BAF" w:rsidP="004C3F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14:paraId="4411A927" w14:textId="77777777" w:rsidR="00C80E8F" w:rsidRPr="00C80E8F" w:rsidRDefault="00C80E8F" w:rsidP="004C3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  <w:highlight w:val="yellow"/>
              </w:rPr>
            </w:pPr>
          </w:p>
          <w:p w14:paraId="63846CF5" w14:textId="0A28159D" w:rsidR="00271902" w:rsidRPr="00174F40" w:rsidRDefault="00271902" w:rsidP="004C3F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5191" w:type="dxa"/>
          </w:tcPr>
          <w:p w14:paraId="4C53D338" w14:textId="77777777" w:rsidR="007F1032" w:rsidRDefault="007F1032" w:rsidP="004C3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6A54D083" w14:textId="33E3FC53" w:rsidR="000A7964" w:rsidRDefault="000A7964" w:rsidP="004C3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1B33">
              <w:rPr>
                <w:rFonts w:asciiTheme="majorHAnsi" w:hAnsiTheme="majorHAnsi" w:cstheme="minorHAnsi"/>
                <w:b/>
                <w:sz w:val="28"/>
                <w:szCs w:val="28"/>
              </w:rPr>
              <w:t>WEAKNESSES (slabé stránky)</w:t>
            </w:r>
          </w:p>
          <w:p w14:paraId="17490683" w14:textId="77777777" w:rsidR="00C710CB" w:rsidRPr="007F1B33" w:rsidRDefault="00C710CB" w:rsidP="004C3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664AD184" w14:textId="77777777" w:rsidR="00F46247" w:rsidRPr="00F46247" w:rsidRDefault="00F46247" w:rsidP="004C3F7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sz w:val="24"/>
                <w:szCs w:val="24"/>
              </w:rPr>
              <w:t>Problém v naplňování indikátorů MAP II.</w:t>
            </w:r>
          </w:p>
          <w:p w14:paraId="5DF6A048" w14:textId="431AAD44" w:rsidR="008766D7" w:rsidRDefault="008766D7" w:rsidP="004C3F7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Nekoordinovanost termínů schvalování různých dokumentů v návaznosti na dotační tituly</w:t>
            </w:r>
          </w:p>
          <w:p w14:paraId="7175E410" w14:textId="6690E56F" w:rsidR="00F46247" w:rsidRPr="00F46247" w:rsidRDefault="00F46247" w:rsidP="004C3F7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Financování mzdových nákladů</w:t>
            </w:r>
          </w:p>
          <w:p w14:paraId="57C08437" w14:textId="77777777" w:rsidR="008766D7" w:rsidRDefault="008766D7" w:rsidP="004C3F7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Pandemie covid-19 ve školách</w:t>
            </w:r>
          </w:p>
          <w:p w14:paraId="7FE590AC" w14:textId="21A15EB1" w:rsidR="0054396E" w:rsidRDefault="008766D7" w:rsidP="004C3F7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Distanční výuka</w:t>
            </w:r>
            <w:r w:rsidR="00F46247">
              <w:rPr>
                <w:rFonts w:asciiTheme="majorHAnsi" w:hAnsiTheme="majorHAnsi" w:cstheme="minorHAnsi"/>
                <w:sz w:val="24"/>
                <w:szCs w:val="24"/>
              </w:rPr>
              <w:t xml:space="preserve"> v ZŠ,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proškolování</w:t>
            </w:r>
            <w:r w:rsidR="0054396E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zaměstnanců, </w:t>
            </w:r>
          </w:p>
          <w:p w14:paraId="45F7B6D7" w14:textId="292B5EEE" w:rsidR="008766D7" w:rsidRDefault="008766D7" w:rsidP="004C3F72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technické vybavení, chybějící personál</w:t>
            </w:r>
          </w:p>
          <w:p w14:paraId="0CB5C9F4" w14:textId="727C9D96" w:rsidR="00F46247" w:rsidRDefault="008B00E6" w:rsidP="004C3F7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sz w:val="24"/>
                <w:szCs w:val="24"/>
              </w:rPr>
              <w:t>C</w:t>
            </w:r>
            <w:r w:rsidR="008766D7" w:rsidRPr="00F46247">
              <w:rPr>
                <w:rFonts w:asciiTheme="majorHAnsi" w:hAnsiTheme="majorHAnsi" w:cstheme="minorHAnsi"/>
                <w:sz w:val="24"/>
                <w:szCs w:val="24"/>
              </w:rPr>
              <w:t>hybí úplata za vzdělá</w:t>
            </w:r>
            <w:r w:rsidR="007F1B33" w:rsidRPr="00F46247">
              <w:rPr>
                <w:rFonts w:asciiTheme="majorHAnsi" w:hAnsiTheme="majorHAnsi" w:cstheme="minorHAnsi"/>
                <w:sz w:val="24"/>
                <w:szCs w:val="24"/>
              </w:rPr>
              <w:t>vá</w:t>
            </w:r>
            <w:r w:rsidR="008766D7" w:rsidRPr="00F46247">
              <w:rPr>
                <w:rFonts w:asciiTheme="majorHAnsi" w:hAnsiTheme="majorHAnsi" w:cstheme="minorHAnsi"/>
                <w:sz w:val="24"/>
                <w:szCs w:val="24"/>
              </w:rPr>
              <w:t>ní v</w:t>
            </w:r>
            <w:r w:rsidR="00F46247">
              <w:rPr>
                <w:rFonts w:asciiTheme="majorHAnsi" w:hAnsiTheme="majorHAnsi" w:cstheme="minorHAnsi"/>
                <w:sz w:val="24"/>
                <w:szCs w:val="24"/>
              </w:rPr>
              <w:t> </w:t>
            </w:r>
            <w:r w:rsidR="008766D7" w:rsidRPr="00F46247">
              <w:rPr>
                <w:rFonts w:asciiTheme="majorHAnsi" w:hAnsiTheme="majorHAnsi" w:cstheme="minorHAnsi"/>
                <w:sz w:val="24"/>
                <w:szCs w:val="24"/>
              </w:rPr>
              <w:t>DDM</w:t>
            </w:r>
          </w:p>
          <w:p w14:paraId="31B67635" w14:textId="3A34AD93" w:rsidR="00F46247" w:rsidRDefault="00F46247" w:rsidP="004C3F7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Distanční výuka v</w:t>
            </w:r>
            <w:r w:rsidR="00767BAF">
              <w:rPr>
                <w:rFonts w:asciiTheme="majorHAnsi" w:hAnsiTheme="majorHAnsi" w:cstheme="minorHAnsi"/>
                <w:sz w:val="24"/>
                <w:szCs w:val="24"/>
              </w:rPr>
              <w:t> 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MŠ</w:t>
            </w:r>
          </w:p>
          <w:p w14:paraId="7698433C" w14:textId="0AA754DF" w:rsidR="00767BAF" w:rsidRDefault="00767BAF" w:rsidP="004C3F7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Financování možného doučování žáků (v souvislosti s pandemií covid-19)</w:t>
            </w:r>
          </w:p>
          <w:p w14:paraId="53030EA1" w14:textId="2F4532AC" w:rsidR="008766D7" w:rsidRPr="00F46247" w:rsidRDefault="008766D7" w:rsidP="004C3F72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F46247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54889755" w14:textId="77777777" w:rsidR="00D6567F" w:rsidRDefault="00D6567F" w:rsidP="004C3F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52D025CE" w14:textId="5A11B344" w:rsidR="008B00E6" w:rsidRPr="008766D7" w:rsidRDefault="008B00E6" w:rsidP="004C3F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0A7964" w:rsidRPr="00E22A23" w14:paraId="6315EB5D" w14:textId="77777777" w:rsidTr="00597CE6">
        <w:trPr>
          <w:trHeight w:hRule="exact" w:val="15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extDirection w:val="btLr"/>
          </w:tcPr>
          <w:p w14:paraId="418155C1" w14:textId="6F3A91CF" w:rsidR="000A7964" w:rsidRPr="00E22A23" w:rsidRDefault="000A7964" w:rsidP="004C3F72">
            <w:pPr>
              <w:ind w:left="113" w:right="113"/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7B73AB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VNĚJŠÍ</w:t>
            </w:r>
            <w:r w:rsidRPr="007B73AB">
              <w:rPr>
                <w:rFonts w:asciiTheme="majorHAnsi" w:hAnsiTheme="majorHAnsi" w:cstheme="minorHAnsi"/>
                <w:sz w:val="28"/>
                <w:szCs w:val="28"/>
              </w:rPr>
              <w:br/>
            </w:r>
            <w:r w:rsidRPr="007B73AB">
              <w:rPr>
                <w:rFonts w:asciiTheme="majorHAnsi" w:hAnsiTheme="majorHAnsi" w:cstheme="minorHAnsi"/>
                <w:sz w:val="24"/>
                <w:szCs w:val="24"/>
              </w:rPr>
              <w:t>(atributy prostředí)</w:t>
            </w:r>
          </w:p>
        </w:tc>
        <w:tc>
          <w:tcPr>
            <w:tcW w:w="4297" w:type="dxa"/>
          </w:tcPr>
          <w:p w14:paraId="2F34CCA0" w14:textId="77777777" w:rsidR="007F1032" w:rsidRDefault="007F1032" w:rsidP="004C3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19C3AC20" w14:textId="35D7B483" w:rsidR="000A7964" w:rsidRDefault="000A7964" w:rsidP="004C3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1B33">
              <w:rPr>
                <w:rFonts w:asciiTheme="majorHAnsi" w:hAnsiTheme="majorHAnsi" w:cstheme="minorHAnsi"/>
                <w:b/>
                <w:sz w:val="28"/>
                <w:szCs w:val="28"/>
              </w:rPr>
              <w:t>OPPORTUNITIES (příležitosti)</w:t>
            </w:r>
          </w:p>
          <w:p w14:paraId="462AC0A7" w14:textId="77777777" w:rsidR="00C710CB" w:rsidRPr="007F1B33" w:rsidRDefault="00C710CB" w:rsidP="004C3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1F78BD23" w14:textId="741C5F51" w:rsidR="008766D7" w:rsidRDefault="008766D7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Financování školství (PHMAX)</w:t>
            </w:r>
          </w:p>
          <w:p w14:paraId="7F818C40" w14:textId="39A27B27" w:rsidR="008B00E6" w:rsidRDefault="008B00E6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Střední článek</w:t>
            </w:r>
          </w:p>
          <w:p w14:paraId="6AB3D8AF" w14:textId="17799450" w:rsidR="001800AE" w:rsidRDefault="001800AE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Spolupráce škol (ZŠ a SŠ) s lokálními zaměstnavateli </w:t>
            </w:r>
            <w:r w:rsidR="00767BAF">
              <w:rPr>
                <w:rFonts w:asciiTheme="majorHAnsi" w:hAnsiTheme="majorHAnsi" w:cstheme="minorHAnsi"/>
                <w:sz w:val="24"/>
                <w:szCs w:val="24"/>
              </w:rPr>
              <w:t>(zejména podnikatelský sektor)</w:t>
            </w:r>
          </w:p>
          <w:p w14:paraId="005F0A0B" w14:textId="77777777" w:rsidR="001800AE" w:rsidRDefault="001800AE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Spolupráce se zřizovateli škol</w:t>
            </w:r>
          </w:p>
          <w:p w14:paraId="788125AD" w14:textId="67CAF3F1" w:rsidR="001800AE" w:rsidRDefault="001800AE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Doučování online – přijímačky na SŠ („covid mezery“)</w:t>
            </w:r>
          </w:p>
          <w:p w14:paraId="6FFD63DA" w14:textId="78739D9F" w:rsidR="001800AE" w:rsidRDefault="001800AE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Zapojení studentů SŠ a VŠ do výuky (MŠ, ZŠ a SŠ)</w:t>
            </w:r>
          </w:p>
          <w:p w14:paraId="0672D001" w14:textId="4C2900AA" w:rsidR="001800AE" w:rsidRPr="00C710CB" w:rsidRDefault="001800AE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 xml:space="preserve">Výměna zkušeností v rámci distanční výuky mezi MAP </w:t>
            </w:r>
            <w:r w:rsidR="00597CE6">
              <w:rPr>
                <w:rFonts w:asciiTheme="majorHAnsi" w:hAnsiTheme="majorHAnsi" w:cstheme="minorHAnsi"/>
                <w:sz w:val="24"/>
                <w:szCs w:val="24"/>
              </w:rPr>
              <w:br/>
            </w: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a vzdělávacími institucemi</w:t>
            </w:r>
          </w:p>
          <w:p w14:paraId="6BFE0196" w14:textId="5BFF6AA2" w:rsidR="00FD5A09" w:rsidRPr="00C710CB" w:rsidRDefault="00FD5A09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bCs/>
                <w:sz w:val="24"/>
                <w:szCs w:val="24"/>
              </w:rPr>
              <w:t>Propojení koordinátorů MAP v Královéhradeckém kraji</w:t>
            </w:r>
          </w:p>
          <w:p w14:paraId="70AAA589" w14:textId="1273986C" w:rsidR="00FD5A09" w:rsidRPr="00C710CB" w:rsidRDefault="00FD5A09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Matematický průzkumník (inspirace pro učitele matematiky)</w:t>
            </w:r>
          </w:p>
          <w:p w14:paraId="53F1A2EE" w14:textId="0A9676E2" w:rsidR="00FD5A09" w:rsidRPr="00C710CB" w:rsidRDefault="00FD5A09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 xml:space="preserve">Webináře – společná nabídka za MAPy v ČR (Minecraft </w:t>
            </w:r>
            <w:r w:rsidR="00597CE6">
              <w:rPr>
                <w:rFonts w:asciiTheme="majorHAnsi" w:hAnsiTheme="majorHAnsi" w:cstheme="minorHAnsi"/>
                <w:sz w:val="24"/>
                <w:szCs w:val="24"/>
              </w:rPr>
              <w:t>–</w:t>
            </w: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 xml:space="preserve"> Teplicko. Polytechnické vzdělávání – Náchodsko, webináře pro pedagogické pracovníky – MAS Vizovicko Slušovicko,</w:t>
            </w:r>
            <w:r w:rsidR="00597CE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…)</w:t>
            </w:r>
          </w:p>
          <w:p w14:paraId="564FF187" w14:textId="365906E4" w:rsidR="00FD5A09" w:rsidRPr="00C710CB" w:rsidRDefault="00FD5A09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Online kurzy řemesel – držitelé region. značky KOP</w:t>
            </w:r>
          </w:p>
          <w:p w14:paraId="531B7354" w14:textId="7D5A0530" w:rsidR="00FD5A09" w:rsidRPr="00C710CB" w:rsidRDefault="00FD5A09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propojení s nabídkou přednášek se správou KRNAP, DOTEK, ….</w:t>
            </w:r>
          </w:p>
          <w:p w14:paraId="295B685A" w14:textId="69155B1C" w:rsidR="001800AE" w:rsidRPr="00C710CB" w:rsidRDefault="00FD5A09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Využití FB stránek MAP pro školy, cílovou skupinu a aktivity</w:t>
            </w:r>
          </w:p>
          <w:p w14:paraId="52706F7D" w14:textId="63B8B38B" w:rsidR="00C70E61" w:rsidRPr="00C710CB" w:rsidRDefault="00C70E61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Finance z dotací – dočerpání z minulého dotačního období 2014-2020</w:t>
            </w:r>
          </w:p>
          <w:p w14:paraId="3D0671AB" w14:textId="74F0A943" w:rsidR="008766D7" w:rsidRPr="00C710CB" w:rsidRDefault="008766D7" w:rsidP="004C3F72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MAS 3 700 000 Kč</w:t>
            </w:r>
            <w:r w:rsidR="0069306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693066" w:rsidRPr="00693066">
              <w:rPr>
                <w:rFonts w:asciiTheme="majorHAnsi" w:hAnsiTheme="majorHAnsi" w:cstheme="minorHAnsi"/>
                <w:sz w:val="24"/>
                <w:szCs w:val="24"/>
              </w:rPr>
              <w:t>(</w:t>
            </w:r>
            <w:r w:rsidR="00693066" w:rsidRPr="00693066">
              <w:rPr>
                <w:rFonts w:asciiTheme="majorHAnsi" w:hAnsiTheme="majorHAnsi"/>
                <w:color w:val="000000" w:themeColor="text1"/>
              </w:rPr>
              <w:t>celková finanční alokace je cca 40 mil. Kč</w:t>
            </w:r>
            <w:r w:rsidR="00B5666D">
              <w:rPr>
                <w:rFonts w:asciiTheme="majorHAnsi" w:hAnsiTheme="majorHAnsi"/>
                <w:color w:val="000000" w:themeColor="text1"/>
              </w:rPr>
              <w:t>/</w:t>
            </w:r>
            <w:r w:rsidR="00693066" w:rsidRPr="00693066">
              <w:rPr>
                <w:rFonts w:asciiTheme="majorHAnsi" w:hAnsiTheme="majorHAnsi"/>
                <w:color w:val="000000" w:themeColor="text1"/>
              </w:rPr>
              <w:t xml:space="preserve"> 2017-2023)</w:t>
            </w:r>
          </w:p>
          <w:p w14:paraId="1FB7EE0D" w14:textId="77777777" w:rsidR="00C70E61" w:rsidRPr="00C710CB" w:rsidRDefault="00C70E61" w:rsidP="004C3F7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Finance z dotací – nové dotační období 2022-2027</w:t>
            </w:r>
          </w:p>
          <w:p w14:paraId="4766C923" w14:textId="2BBC04C2" w:rsidR="00C70E61" w:rsidRPr="00C710CB" w:rsidRDefault="00C70E61" w:rsidP="004C3F72">
            <w:pPr>
              <w:pStyle w:val="ListParagraph"/>
              <w:numPr>
                <w:ilvl w:val="1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Čerpání region. dotací z MAS Krkonoše – IROP </w:t>
            </w:r>
            <w:r w:rsidR="00597CE6">
              <w:rPr>
                <w:rFonts w:asciiTheme="majorHAnsi" w:hAnsiTheme="majorHAnsi" w:cstheme="minorHAnsi"/>
                <w:bCs/>
                <w:sz w:val="24"/>
                <w:szCs w:val="24"/>
              </w:rPr>
              <w:br/>
            </w:r>
            <w:r w:rsidRPr="00C710CB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a OPZ </w:t>
            </w:r>
          </w:p>
          <w:p w14:paraId="671C9E26" w14:textId="77777777" w:rsidR="00C70E61" w:rsidRPr="00C710CB" w:rsidRDefault="00C70E61" w:rsidP="004C3F72">
            <w:pPr>
              <w:pStyle w:val="ListParagraph"/>
              <w:numPr>
                <w:ilvl w:val="1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bCs/>
                <w:sz w:val="24"/>
                <w:szCs w:val="24"/>
              </w:rPr>
              <w:t>IROP, Erasmus, krajské dotace KHK, Norské fondy, Českopolská spolupráce, …(investiční)</w:t>
            </w:r>
          </w:p>
          <w:p w14:paraId="1C6EF935" w14:textId="77777777" w:rsidR="008766D7" w:rsidRPr="00C710CB" w:rsidRDefault="008766D7" w:rsidP="004C3F72">
            <w:pPr>
              <w:pStyle w:val="ListParagraph"/>
              <w:numPr>
                <w:ilvl w:val="1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Národní programy IROP</w:t>
            </w:r>
          </w:p>
          <w:p w14:paraId="567B407B" w14:textId="75E0DE7A" w:rsidR="008766D7" w:rsidRPr="00C710CB" w:rsidRDefault="008766D7" w:rsidP="004C3F72">
            <w:pPr>
              <w:pStyle w:val="ListParagraph"/>
              <w:numPr>
                <w:ilvl w:val="1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Šablony</w:t>
            </w:r>
            <w:r w:rsidR="00C70E61" w:rsidRPr="00C710CB">
              <w:rPr>
                <w:rFonts w:asciiTheme="majorHAnsi" w:hAnsiTheme="majorHAnsi" w:cstheme="minorHAnsi"/>
                <w:bCs/>
                <w:sz w:val="24"/>
                <w:szCs w:val="24"/>
              </w:rPr>
              <w:t>(neinvestiční)</w:t>
            </w:r>
          </w:p>
          <w:p w14:paraId="10FDB3DE" w14:textId="407BD4FC" w:rsidR="007F1B33" w:rsidRPr="00C710CB" w:rsidRDefault="007F1B33" w:rsidP="004C3F72">
            <w:pPr>
              <w:pStyle w:val="ListParagraph"/>
              <w:numPr>
                <w:ilvl w:val="1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MAP III.</w:t>
            </w:r>
          </w:p>
          <w:p w14:paraId="1AF584A5" w14:textId="3F663AEA" w:rsidR="007F1B33" w:rsidRPr="00C710CB" w:rsidRDefault="008766D7" w:rsidP="004C3F72">
            <w:pPr>
              <w:pStyle w:val="ListParagraph"/>
              <w:numPr>
                <w:ilvl w:val="1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C710CB">
              <w:rPr>
                <w:rFonts w:asciiTheme="majorHAnsi" w:hAnsiTheme="majorHAnsi" w:cstheme="minorHAnsi"/>
                <w:sz w:val="24"/>
                <w:szCs w:val="24"/>
              </w:rPr>
              <w:t>J.A.K.</w:t>
            </w:r>
          </w:p>
          <w:p w14:paraId="02AF0765" w14:textId="6090793B" w:rsidR="008766D7" w:rsidRPr="008766D7" w:rsidRDefault="008766D7" w:rsidP="004C3F7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191" w:type="dxa"/>
          </w:tcPr>
          <w:p w14:paraId="29545DB0" w14:textId="77777777" w:rsidR="007F1032" w:rsidRDefault="007F1032" w:rsidP="004C3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0FBB50E9" w14:textId="179AD119" w:rsidR="000A7964" w:rsidRPr="00D15D1A" w:rsidRDefault="000A7964" w:rsidP="004C3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D15D1A">
              <w:rPr>
                <w:rFonts w:asciiTheme="majorHAnsi" w:hAnsiTheme="majorHAnsi" w:cstheme="minorHAnsi"/>
                <w:b/>
                <w:sz w:val="28"/>
                <w:szCs w:val="28"/>
              </w:rPr>
              <w:t>THREATS (hrozby)</w:t>
            </w:r>
          </w:p>
          <w:p w14:paraId="26B50455" w14:textId="77777777" w:rsidR="00D330A8" w:rsidRPr="00D15D1A" w:rsidRDefault="00D330A8" w:rsidP="004C3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7DB9D064" w14:textId="6A726C60" w:rsidR="008766D7" w:rsidRPr="00D15D1A" w:rsidRDefault="008766D7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Financování školství (PHMAX)</w:t>
            </w:r>
          </w:p>
          <w:p w14:paraId="42B47D70" w14:textId="3D80E98B" w:rsidR="008766D7" w:rsidRPr="00D15D1A" w:rsidRDefault="008766D7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Střední článek</w:t>
            </w:r>
          </w:p>
          <w:p w14:paraId="052D0B88" w14:textId="09D64FA3" w:rsidR="000A7964" w:rsidRPr="00D15D1A" w:rsidRDefault="00174F40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Spolufinancování</w:t>
            </w:r>
          </w:p>
          <w:p w14:paraId="00205FDB" w14:textId="77777777" w:rsidR="00174F40" w:rsidRPr="00D15D1A" w:rsidRDefault="00174F40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Roztříštěnost dotačních titulů</w:t>
            </w:r>
          </w:p>
          <w:p w14:paraId="6A72FEEF" w14:textId="4E807D23" w:rsidR="00174F40" w:rsidRPr="00D15D1A" w:rsidRDefault="00174F40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Nestihneme </w:t>
            </w:r>
            <w:r w:rsidR="00D15D1A"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včas 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aktualizaci </w:t>
            </w:r>
            <w:r w:rsidR="008B00E6" w:rsidRPr="00D15D1A">
              <w:rPr>
                <w:rFonts w:asciiTheme="majorHAnsi" w:hAnsiTheme="majorHAnsi" w:cstheme="minorHAnsi"/>
                <w:sz w:val="24"/>
                <w:szCs w:val="24"/>
              </w:rPr>
              <w:t>strategického rámce</w:t>
            </w:r>
            <w:r w:rsidR="00D15D1A"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 v návaznosti na dotace (Termínový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 nesoulad</w:t>
            </w:r>
            <w:r w:rsidR="00D15D1A" w:rsidRPr="00D15D1A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  <w:p w14:paraId="252EA7B7" w14:textId="77777777" w:rsidR="00D15D1A" w:rsidRPr="00D15D1A" w:rsidRDefault="00D15D1A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Problém v naplňování indikátorů MAP II.</w:t>
            </w:r>
          </w:p>
          <w:p w14:paraId="1F0D18FB" w14:textId="52A86CB5" w:rsidR="00174F40" w:rsidRDefault="00174F40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Odchod žáků (demografický vývoj</w:t>
            </w:r>
            <w:r w:rsidR="00767BAF">
              <w:rPr>
                <w:rFonts w:asciiTheme="majorHAnsi" w:hAnsiTheme="majorHAnsi" w:cstheme="minorHAnsi"/>
                <w:sz w:val="24"/>
                <w:szCs w:val="24"/>
              </w:rPr>
              <w:t xml:space="preserve"> – odliv = menší finance z RUDu</w:t>
            </w:r>
            <w:r w:rsidR="008B00E6" w:rsidRPr="00D15D1A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  <w:p w14:paraId="225F4B79" w14:textId="5DDABAB4" w:rsidR="00767BAF" w:rsidRPr="00D15D1A" w:rsidRDefault="00767BAF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Absolventi VŠ (příp. SŠ) se nevracejí zpět do našeho regionu (nedostatečná nabídka pracovních míst)</w:t>
            </w:r>
          </w:p>
          <w:p w14:paraId="6941D624" w14:textId="1EDCDEC0" w:rsidR="00174F40" w:rsidRPr="00D15D1A" w:rsidRDefault="00D15D1A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Neúčast v navazujících projektech </w:t>
            </w:r>
            <w:r w:rsidR="00174F40" w:rsidRPr="00D15D1A">
              <w:rPr>
                <w:rFonts w:asciiTheme="majorHAnsi" w:hAnsiTheme="majorHAnsi" w:cstheme="minorHAnsi"/>
                <w:sz w:val="24"/>
                <w:szCs w:val="24"/>
              </w:rPr>
              <w:t>MAP III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 a</w:t>
            </w:r>
            <w:r w:rsidR="008766D7"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 J.A.K.</w:t>
            </w:r>
          </w:p>
          <w:p w14:paraId="10A6AF68" w14:textId="170BE1BB" w:rsidR="00174F40" w:rsidRPr="00D15D1A" w:rsidRDefault="00D15D1A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Opatření v souvislosti s pandemií (Co</w:t>
            </w:r>
            <w:r w:rsidR="00174F40" w:rsidRPr="00D15D1A">
              <w:rPr>
                <w:rFonts w:asciiTheme="majorHAnsi" w:hAnsiTheme="majorHAnsi" w:cstheme="minorHAnsi"/>
                <w:sz w:val="24"/>
                <w:szCs w:val="24"/>
              </w:rPr>
              <w:t>vid-19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  <w:p w14:paraId="3266B5C9" w14:textId="40B82006" w:rsidR="008B00E6" w:rsidRPr="00D15D1A" w:rsidRDefault="00D15D1A" w:rsidP="004C3F72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Ú</w:t>
            </w:r>
            <w:r w:rsidR="008B00E6" w:rsidRPr="00D15D1A">
              <w:rPr>
                <w:rFonts w:asciiTheme="majorHAnsi" w:hAnsiTheme="majorHAnsi" w:cstheme="minorHAnsi"/>
                <w:sz w:val="24"/>
                <w:szCs w:val="24"/>
              </w:rPr>
              <w:t>bytek dětí (volnočasové aktivity v DMM a v ZUŠ)</w:t>
            </w:r>
          </w:p>
          <w:p w14:paraId="550A7E7A" w14:textId="77777777" w:rsidR="00D15D1A" w:rsidRPr="00D15D1A" w:rsidRDefault="008B00E6" w:rsidP="004C3F72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chybí úplata za vzdělávání 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br/>
              <w:t>v DDM</w:t>
            </w:r>
          </w:p>
          <w:p w14:paraId="53FEAE22" w14:textId="5C0B4DC0" w:rsidR="00767BAF" w:rsidRDefault="00D15D1A" w:rsidP="004C3F72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Chybí dlouhodobé plány pro školství dle PES (doučování </w:t>
            </w:r>
            <w:r w:rsidR="00597CE6">
              <w:rPr>
                <w:rFonts w:asciiTheme="majorHAnsi" w:hAnsiTheme="majorHAnsi" w:cstheme="minorHAnsi"/>
                <w:sz w:val="24"/>
                <w:szCs w:val="24"/>
              </w:rPr>
              <w:br/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o letních prázdninách, příměstské tábory, prodloužení školy</w:t>
            </w:r>
          </w:p>
          <w:p w14:paraId="37E95C06" w14:textId="29A35708" w:rsidR="00767BAF" w:rsidRPr="00597CE6" w:rsidRDefault="00767BAF" w:rsidP="00597CE6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67BAF">
              <w:rPr>
                <w:rFonts w:asciiTheme="majorHAnsi" w:hAnsiTheme="majorHAnsi" w:cstheme="minorHAnsi"/>
                <w:sz w:val="24"/>
                <w:szCs w:val="24"/>
              </w:rPr>
              <w:t>Financování možného doučování žáků (v souvislosti s pandemií covid-19)</w:t>
            </w:r>
          </w:p>
          <w:p w14:paraId="743D7B5D" w14:textId="38B2B058" w:rsidR="00174F40" w:rsidRPr="00D15D1A" w:rsidRDefault="007F1B33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Z</w:t>
            </w:r>
            <w:r w:rsidR="008766D7"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dlouhavý proces realizace projektů </w:t>
            </w:r>
            <w:r w:rsidR="00597CE6">
              <w:rPr>
                <w:rFonts w:asciiTheme="majorHAnsi" w:hAnsiTheme="majorHAnsi" w:cstheme="minorHAnsi"/>
                <w:sz w:val="24"/>
                <w:szCs w:val="24"/>
              </w:rPr>
              <w:br/>
            </w:r>
            <w:r w:rsidR="008766D7" w:rsidRPr="00D15D1A">
              <w:rPr>
                <w:rFonts w:asciiTheme="majorHAnsi" w:hAnsiTheme="majorHAnsi" w:cstheme="minorHAnsi"/>
                <w:sz w:val="24"/>
                <w:szCs w:val="24"/>
              </w:rPr>
              <w:t>u investičních dotací</w:t>
            </w:r>
          </w:p>
          <w:p w14:paraId="4263DD0D" w14:textId="796D7170" w:rsidR="00174F40" w:rsidRPr="00D15D1A" w:rsidRDefault="00174F40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Škol</w:t>
            </w:r>
            <w:r w:rsidR="00D15D1A" w:rsidRPr="00D15D1A">
              <w:rPr>
                <w:rFonts w:asciiTheme="majorHAnsi" w:hAnsiTheme="majorHAnsi" w:cstheme="minorHAnsi"/>
                <w:sz w:val="24"/>
                <w:szCs w:val="24"/>
              </w:rPr>
              <w:t>y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 nemají </w:t>
            </w:r>
            <w:r w:rsidR="00D15D1A" w:rsidRPr="00D15D1A">
              <w:rPr>
                <w:rFonts w:asciiTheme="majorHAnsi" w:hAnsiTheme="majorHAnsi" w:cstheme="minorHAnsi"/>
                <w:sz w:val="24"/>
                <w:szCs w:val="24"/>
              </w:rPr>
              <w:t>některá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 práva </w:t>
            </w:r>
            <w:r w:rsidR="00D15D1A" w:rsidRPr="00D15D1A">
              <w:rPr>
                <w:rFonts w:asciiTheme="majorHAnsi" w:hAnsiTheme="majorHAnsi" w:cstheme="minorHAnsi"/>
                <w:sz w:val="24"/>
                <w:szCs w:val="24"/>
              </w:rPr>
              <w:t>(nutná dohoda se z</w:t>
            </w: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řizovatel</w:t>
            </w:r>
            <w:r w:rsidR="00D15D1A" w:rsidRPr="00D15D1A">
              <w:rPr>
                <w:rFonts w:asciiTheme="majorHAnsi" w:hAnsiTheme="majorHAnsi" w:cstheme="minorHAnsi"/>
                <w:sz w:val="24"/>
                <w:szCs w:val="24"/>
              </w:rPr>
              <w:t>i)</w:t>
            </w:r>
          </w:p>
          <w:p w14:paraId="7F49124F" w14:textId="77777777" w:rsidR="00767BAF" w:rsidRDefault="00752B54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Chybí</w:t>
            </w:r>
            <w:r w:rsidR="00FE0891"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 vzdělaní pomocníci ve školách (např. asistent pedagoga)</w:t>
            </w:r>
          </w:p>
          <w:p w14:paraId="08C90DEA" w14:textId="297D9ACD" w:rsidR="00767BAF" w:rsidRPr="00767BAF" w:rsidRDefault="00767BAF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67BAF">
              <w:rPr>
                <w:rFonts w:asciiTheme="majorHAnsi" w:hAnsiTheme="majorHAnsi" w:cstheme="minorHAnsi"/>
                <w:sz w:val="24"/>
                <w:szCs w:val="24"/>
              </w:rPr>
              <w:t>Financování nepedagogických pracovníků, IT techniků apod.</w:t>
            </w:r>
          </w:p>
          <w:p w14:paraId="0738240A" w14:textId="5D8FE9BA" w:rsidR="00AC2245" w:rsidRPr="00D15D1A" w:rsidRDefault="00AC2245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Méně dotačních programů z EU</w:t>
            </w:r>
          </w:p>
          <w:p w14:paraId="6C2D9988" w14:textId="3562A027" w:rsidR="00AC2245" w:rsidRPr="00D15D1A" w:rsidRDefault="00AC2245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Vyšší finanční spoluúčast na projektech v novém program. období</w:t>
            </w:r>
          </w:p>
          <w:p w14:paraId="21DF495B" w14:textId="77777777" w:rsidR="00D15D1A" w:rsidRPr="00D15D1A" w:rsidRDefault="00D15D1A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bCs/>
                <w:sz w:val="24"/>
                <w:szCs w:val="24"/>
              </w:rPr>
              <w:t>Spolufinancování projektů ze strany zřizovatele</w:t>
            </w:r>
          </w:p>
          <w:p w14:paraId="522A4A3B" w14:textId="77777777" w:rsidR="00AC2245" w:rsidRPr="00D15D1A" w:rsidRDefault="00AC2245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Vyšší konkurence v rámci dotačních pobídek</w:t>
            </w:r>
          </w:p>
          <w:p w14:paraId="16DC6044" w14:textId="77777777" w:rsidR="00AC2245" w:rsidRPr="00D15D1A" w:rsidRDefault="00AC2245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Nižší rozpočet zřizovatelů</w:t>
            </w:r>
          </w:p>
          <w:p w14:paraId="21EEE4C5" w14:textId="18922463" w:rsidR="00121AED" w:rsidRPr="00D15D1A" w:rsidRDefault="00121AED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Nepřipravenost zákonů a pravidel ze strany řídícího orgánu pro vzdělávání v ČR</w:t>
            </w:r>
          </w:p>
          <w:p w14:paraId="2B1996CF" w14:textId="3A23E188" w:rsidR="00121AED" w:rsidRPr="00D15D1A" w:rsidRDefault="00D15D1A" w:rsidP="004C3F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15D1A">
              <w:rPr>
                <w:rFonts w:asciiTheme="majorHAnsi" w:hAnsiTheme="majorHAnsi" w:cstheme="minorHAnsi"/>
                <w:sz w:val="24"/>
                <w:szCs w:val="24"/>
              </w:rPr>
              <w:t>C</w:t>
            </w:r>
            <w:r w:rsidR="00121AED" w:rsidRPr="00D15D1A">
              <w:rPr>
                <w:rFonts w:asciiTheme="majorHAnsi" w:hAnsiTheme="majorHAnsi" w:cstheme="minorHAnsi"/>
                <w:sz w:val="24"/>
                <w:szCs w:val="24"/>
              </w:rPr>
              <w:t xml:space="preserve">hybí propojení s nadacemi a možností zajištění ICT, soc. slabých rodin </w:t>
            </w:r>
            <w:r w:rsidR="00597CE6">
              <w:rPr>
                <w:rFonts w:asciiTheme="majorHAnsi" w:hAnsiTheme="majorHAnsi" w:cstheme="minorHAnsi"/>
                <w:sz w:val="24"/>
                <w:szCs w:val="24"/>
              </w:rPr>
              <w:br/>
            </w:r>
            <w:r w:rsidR="00121AED" w:rsidRPr="00D15D1A">
              <w:rPr>
                <w:rFonts w:asciiTheme="majorHAnsi" w:hAnsiTheme="majorHAnsi" w:cstheme="minorHAnsi"/>
                <w:sz w:val="24"/>
                <w:szCs w:val="24"/>
              </w:rPr>
              <w:t>a podpora samoživitelů</w:t>
            </w:r>
          </w:p>
          <w:p w14:paraId="007B6AB9" w14:textId="77777777" w:rsidR="00121AED" w:rsidRPr="00D15D1A" w:rsidRDefault="00121AED" w:rsidP="004C3F7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B35336E" w14:textId="77777777" w:rsidR="00121AED" w:rsidRPr="00D15D1A" w:rsidRDefault="00121AED" w:rsidP="004C3F7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201BBC5C" w14:textId="073EFF7F" w:rsidR="008B00E6" w:rsidRPr="00D15D1A" w:rsidRDefault="008B00E6" w:rsidP="004C3F7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bookmarkEnd w:id="0"/>
    </w:tbl>
    <w:p w14:paraId="3F615D2A" w14:textId="2C67E766" w:rsidR="000A7964" w:rsidRPr="00E22A23" w:rsidRDefault="000A7964" w:rsidP="008F77EF">
      <w:pPr>
        <w:tabs>
          <w:tab w:val="left" w:pos="2136"/>
        </w:tabs>
        <w:rPr>
          <w:rFonts w:asciiTheme="majorHAnsi" w:hAnsiTheme="majorHAnsi" w:cstheme="minorHAnsi"/>
          <w:sz w:val="24"/>
          <w:szCs w:val="24"/>
        </w:rPr>
      </w:pPr>
    </w:p>
    <w:sectPr w:rsidR="000A7964" w:rsidRPr="00E22A23" w:rsidSect="00597CE6">
      <w:footerReference w:type="default" r:id="rId7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3C325" w14:textId="77777777" w:rsidR="008C492F" w:rsidRDefault="008C492F" w:rsidP="00E22A23">
      <w:pPr>
        <w:spacing w:after="0" w:line="240" w:lineRule="auto"/>
      </w:pPr>
      <w:r>
        <w:separator/>
      </w:r>
    </w:p>
  </w:endnote>
  <w:endnote w:type="continuationSeparator" w:id="0">
    <w:p w14:paraId="7BE615EC" w14:textId="77777777" w:rsidR="008C492F" w:rsidRDefault="008C492F" w:rsidP="00E2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8AC9C" w14:textId="6A4DE005" w:rsidR="00E22A23" w:rsidRPr="00E22A23" w:rsidRDefault="00E22A23" w:rsidP="00E22A23">
    <w:pPr>
      <w:pStyle w:val="Footer"/>
      <w:tabs>
        <w:tab w:val="clear" w:pos="9072"/>
        <w:tab w:val="right" w:pos="9356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D9DF" w14:textId="77777777" w:rsidR="008C492F" w:rsidRDefault="008C492F" w:rsidP="00E22A23">
      <w:pPr>
        <w:spacing w:after="0" w:line="240" w:lineRule="auto"/>
      </w:pPr>
      <w:r>
        <w:separator/>
      </w:r>
    </w:p>
  </w:footnote>
  <w:footnote w:type="continuationSeparator" w:id="0">
    <w:p w14:paraId="6DADADDB" w14:textId="77777777" w:rsidR="008C492F" w:rsidRDefault="008C492F" w:rsidP="00E2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4DE"/>
    <w:multiLevelType w:val="hybridMultilevel"/>
    <w:tmpl w:val="0B74C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E33"/>
    <w:multiLevelType w:val="hybridMultilevel"/>
    <w:tmpl w:val="67E29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949"/>
    <w:multiLevelType w:val="hybridMultilevel"/>
    <w:tmpl w:val="E1947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923"/>
    <w:multiLevelType w:val="hybridMultilevel"/>
    <w:tmpl w:val="FB42B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2F77"/>
    <w:multiLevelType w:val="hybridMultilevel"/>
    <w:tmpl w:val="254C1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42004"/>
    <w:multiLevelType w:val="hybridMultilevel"/>
    <w:tmpl w:val="EAC4F3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01CFB"/>
    <w:multiLevelType w:val="hybridMultilevel"/>
    <w:tmpl w:val="3D3C9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E0B53"/>
    <w:multiLevelType w:val="hybridMultilevel"/>
    <w:tmpl w:val="464645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56519E"/>
    <w:multiLevelType w:val="hybridMultilevel"/>
    <w:tmpl w:val="D96806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BE71CD"/>
    <w:multiLevelType w:val="hybridMultilevel"/>
    <w:tmpl w:val="E772A43C"/>
    <w:lvl w:ilvl="0" w:tplc="05805374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C8E"/>
    <w:multiLevelType w:val="hybridMultilevel"/>
    <w:tmpl w:val="52866F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39B6"/>
    <w:multiLevelType w:val="hybridMultilevel"/>
    <w:tmpl w:val="7F0C5B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40"/>
    <w:rsid w:val="0005266E"/>
    <w:rsid w:val="00073983"/>
    <w:rsid w:val="000822BA"/>
    <w:rsid w:val="000A7964"/>
    <w:rsid w:val="00121AED"/>
    <w:rsid w:val="00127FE9"/>
    <w:rsid w:val="00174F40"/>
    <w:rsid w:val="001800AE"/>
    <w:rsid w:val="001A176A"/>
    <w:rsid w:val="001D124A"/>
    <w:rsid w:val="002149C5"/>
    <w:rsid w:val="00271902"/>
    <w:rsid w:val="002F27C0"/>
    <w:rsid w:val="00337155"/>
    <w:rsid w:val="003A44B4"/>
    <w:rsid w:val="003B34C4"/>
    <w:rsid w:val="003F1F58"/>
    <w:rsid w:val="004011AF"/>
    <w:rsid w:val="004B6EB8"/>
    <w:rsid w:val="004C3F72"/>
    <w:rsid w:val="00523287"/>
    <w:rsid w:val="0054396E"/>
    <w:rsid w:val="00561D96"/>
    <w:rsid w:val="00597CE6"/>
    <w:rsid w:val="00645E72"/>
    <w:rsid w:val="00693066"/>
    <w:rsid w:val="006F6635"/>
    <w:rsid w:val="00752B54"/>
    <w:rsid w:val="00765531"/>
    <w:rsid w:val="00767BAF"/>
    <w:rsid w:val="007B73AB"/>
    <w:rsid w:val="007F1032"/>
    <w:rsid w:val="007F1B33"/>
    <w:rsid w:val="007F5662"/>
    <w:rsid w:val="008178B5"/>
    <w:rsid w:val="008766D7"/>
    <w:rsid w:val="008B00E6"/>
    <w:rsid w:val="008C492F"/>
    <w:rsid w:val="008E02C6"/>
    <w:rsid w:val="008F77EF"/>
    <w:rsid w:val="00966F7A"/>
    <w:rsid w:val="009E1251"/>
    <w:rsid w:val="00A34755"/>
    <w:rsid w:val="00A7431A"/>
    <w:rsid w:val="00AC2245"/>
    <w:rsid w:val="00B5666D"/>
    <w:rsid w:val="00C175A6"/>
    <w:rsid w:val="00C70E61"/>
    <w:rsid w:val="00C710CB"/>
    <w:rsid w:val="00C77148"/>
    <w:rsid w:val="00C80E8F"/>
    <w:rsid w:val="00CB74CB"/>
    <w:rsid w:val="00D15D1A"/>
    <w:rsid w:val="00D330A8"/>
    <w:rsid w:val="00D6567F"/>
    <w:rsid w:val="00DB44AF"/>
    <w:rsid w:val="00DC00A7"/>
    <w:rsid w:val="00E22A23"/>
    <w:rsid w:val="00E235CB"/>
    <w:rsid w:val="00E46633"/>
    <w:rsid w:val="00E53BDF"/>
    <w:rsid w:val="00F46247"/>
    <w:rsid w:val="00FD5A09"/>
    <w:rsid w:val="00FD72D7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C5B6"/>
  <w15:docId w15:val="{12A8846A-8C92-4AF0-A9E3-0667238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1A"/>
  </w:style>
  <w:style w:type="paragraph" w:styleId="Heading1">
    <w:name w:val="heading 1"/>
    <w:basedOn w:val="Normal"/>
    <w:next w:val="Normal"/>
    <w:link w:val="Heading1Char"/>
    <w:uiPriority w:val="9"/>
    <w:qFormat/>
    <w:rsid w:val="000A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7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7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7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7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2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23"/>
  </w:style>
  <w:style w:type="paragraph" w:styleId="Footer">
    <w:name w:val="footer"/>
    <w:basedOn w:val="Normal"/>
    <w:link w:val="FooterChar"/>
    <w:uiPriority w:val="99"/>
    <w:unhideWhenUsed/>
    <w:rsid w:val="00E2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23"/>
  </w:style>
  <w:style w:type="table" w:styleId="GridTable4-Accent5">
    <w:name w:val="Grid Table 4 Accent 5"/>
    <w:basedOn w:val="TableNormal"/>
    <w:uiPriority w:val="49"/>
    <w:rsid w:val="007F1B3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7F1B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7F1B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\Desktop\SOHL\S%20K%20U%20P%20I%20N%20Y%20a%20K%20O%20M%20I%20S%20E\Finan&#269;n&#237;%20komise%20MAP\swot-analyz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swot-analyza</Template>
  <TotalTime>1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Petra Hartmanová</cp:lastModifiedBy>
  <cp:revision>2</cp:revision>
  <cp:lastPrinted>2021-03-18T10:07:00Z</cp:lastPrinted>
  <dcterms:created xsi:type="dcterms:W3CDTF">2021-03-23T16:40:00Z</dcterms:created>
  <dcterms:modified xsi:type="dcterms:W3CDTF">2021-03-23T16:40:00Z</dcterms:modified>
</cp:coreProperties>
</file>